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385D09" w:rsidP="00701441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-76604</wp:posOffset>
                  </wp:positionH>
                  <wp:positionV relativeFrom="line">
                    <wp:posOffset>-235379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385D09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2D5DEA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068FA" w:rsidRPr="00FA2A5A" w:rsidRDefault="00C27E1C" w:rsidP="006068FA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068FA">
              <w:rPr>
                <w:sz w:val="28"/>
                <w:szCs w:val="28"/>
                <w:lang w:val="ru-RU"/>
              </w:rPr>
              <w:t xml:space="preserve">Проректор </w:t>
            </w:r>
            <w:r w:rsidR="006068FA"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068FA" w:rsidRPr="00FA2A5A" w:rsidRDefault="006068FA" w:rsidP="006068FA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FA2A5A">
              <w:rPr>
                <w:sz w:val="28"/>
                <w:szCs w:val="28"/>
                <w:lang w:val="ru-RU"/>
              </w:rPr>
              <w:t>Ватлина</w:t>
            </w:r>
            <w:proofErr w:type="spellEnd"/>
          </w:p>
          <w:p w:rsidR="00C27E1C" w:rsidRPr="00795572" w:rsidRDefault="006068FA" w:rsidP="006068FA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385D09">
              <w:rPr>
                <w:sz w:val="28"/>
                <w:szCs w:val="28"/>
              </w:rPr>
              <w:t xml:space="preserve">28 </w:t>
            </w:r>
            <w:proofErr w:type="spellStart"/>
            <w:r w:rsidR="00385D09">
              <w:rPr>
                <w:sz w:val="28"/>
                <w:szCs w:val="28"/>
              </w:rPr>
              <w:t>мая</w:t>
            </w:r>
            <w:proofErr w:type="spellEnd"/>
            <w:r w:rsidR="00385D09" w:rsidRPr="004E0E8F">
              <w:rPr>
                <w:sz w:val="28"/>
                <w:szCs w:val="28"/>
              </w:rPr>
              <w:t xml:space="preserve"> 202</w:t>
            </w:r>
            <w:r w:rsidR="00385D09">
              <w:rPr>
                <w:sz w:val="28"/>
                <w:szCs w:val="28"/>
              </w:rPr>
              <w:t xml:space="preserve">5 </w:t>
            </w:r>
            <w:r w:rsidR="00385D09" w:rsidRPr="004E0E8F">
              <w:rPr>
                <w:sz w:val="28"/>
                <w:szCs w:val="28"/>
              </w:rPr>
              <w:t>г.</w:t>
            </w: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957F65" w:rsidRDefault="00957F65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957F65" w:rsidRPr="00795572" w:rsidRDefault="00957F65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5D09" w:rsidRPr="00385D09" w:rsidRDefault="00385D09" w:rsidP="00385D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85D09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C27E1C" w:rsidRDefault="00385D09" w:rsidP="00385D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85D09">
              <w:rPr>
                <w:rFonts w:eastAsia="Courier New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>ОБЩЕОБРАЗОВАТЕЛЬНОЙ</w:t>
            </w:r>
            <w:r w:rsidRPr="00385D09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385D09" w:rsidRPr="00385D09" w:rsidRDefault="00385D09" w:rsidP="00385D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385D09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17071E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специальности</w:t>
      </w:r>
    </w:p>
    <w:p w:rsidR="0017071E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tbl>
      <w:tblPr>
        <w:tblW w:w="10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10128"/>
        <w:gridCol w:w="6"/>
      </w:tblGrid>
      <w:tr w:rsidR="00BD3061" w:rsidTr="00385D09">
        <w:trPr>
          <w:trHeight w:val="500"/>
        </w:trPr>
        <w:tc>
          <w:tcPr>
            <w:tcW w:w="101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D3061" w:rsidRPr="00921062" w:rsidTr="004B33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3061" w:rsidRPr="00921062" w:rsidRDefault="00BD3061" w:rsidP="004B333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1062">
                    <w:rPr>
                      <w:b/>
                      <w:color w:val="000000"/>
                      <w:sz w:val="28"/>
                      <w:szCs w:val="28"/>
                    </w:rPr>
                    <w:t>40.02.01</w:t>
                  </w:r>
                  <w:r w:rsidRPr="009210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10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Право и организация социального обеспечения</w:t>
                  </w:r>
                </w:p>
                <w:p w:rsidR="00BD3061" w:rsidRPr="00921062" w:rsidRDefault="00BD3061" w:rsidP="004B333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D3061" w:rsidRPr="00921062" w:rsidRDefault="00BD3061" w:rsidP="004B3338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</w:tr>
      <w:tr w:rsidR="00BD3061" w:rsidRPr="00921062" w:rsidTr="00385D09">
        <w:trPr>
          <w:trHeight w:val="425"/>
        </w:trPr>
        <w:tc>
          <w:tcPr>
            <w:tcW w:w="7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1013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D3061" w:rsidRPr="00921062" w:rsidTr="004B33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338" w:rsidRDefault="004B3338" w:rsidP="004B3338">
                  <w:pPr>
                    <w:ind w:left="40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к</w:t>
                  </w:r>
                  <w:r w:rsidR="00BD3061" w:rsidRPr="00921062">
                    <w:rPr>
                      <w:bCs/>
                      <w:sz w:val="28"/>
                      <w:szCs w:val="28"/>
                    </w:rPr>
                    <w:t>валификация выпускника</w:t>
                  </w:r>
                  <w:r w:rsidR="00385D09">
                    <w:rPr>
                      <w:bCs/>
                      <w:sz w:val="28"/>
                      <w:szCs w:val="28"/>
                      <w:lang w:val="ru-RU"/>
                    </w:rPr>
                    <w:t>:</w:t>
                  </w:r>
                  <w:r w:rsidR="00BD3061" w:rsidRPr="009210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BD3061" w:rsidRPr="00D42F16" w:rsidRDefault="00BD3061" w:rsidP="004B3338">
                  <w:pPr>
                    <w:ind w:left="4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42F16">
                    <w:rPr>
                      <w:color w:val="000000"/>
                      <w:sz w:val="28"/>
                      <w:szCs w:val="28"/>
                      <w:lang w:val="ru-RU"/>
                    </w:rPr>
                    <w:t>Юрист</w:t>
                  </w:r>
                </w:p>
                <w:p w:rsidR="00BD3061" w:rsidRPr="00921062" w:rsidRDefault="00BD3061" w:rsidP="004B333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D3061" w:rsidRPr="00921062" w:rsidRDefault="00BD3061" w:rsidP="004B3338">
            <w:pPr>
              <w:rPr>
                <w:sz w:val="28"/>
                <w:szCs w:val="28"/>
              </w:rPr>
            </w:pPr>
          </w:p>
        </w:tc>
      </w:tr>
    </w:tbl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452C82">
        <w:rPr>
          <w:sz w:val="28"/>
          <w:szCs w:val="28"/>
        </w:rPr>
        <w:t>Новосибирск</w:t>
      </w:r>
      <w:proofErr w:type="spellEnd"/>
      <w:r w:rsidRPr="00452C82">
        <w:rPr>
          <w:sz w:val="28"/>
          <w:szCs w:val="28"/>
        </w:rPr>
        <w:t xml:space="preserve"> </w:t>
      </w:r>
      <w:r w:rsidRPr="00452C82">
        <w:rPr>
          <w:sz w:val="28"/>
          <w:szCs w:val="28"/>
        </w:rPr>
        <w:br/>
        <w:t>20</w:t>
      </w:r>
      <w:r>
        <w:rPr>
          <w:sz w:val="28"/>
          <w:szCs w:val="28"/>
          <w:lang w:val="ru-RU"/>
        </w:rPr>
        <w:t>2</w:t>
      </w:r>
      <w:r w:rsidR="00385D09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385D09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85D09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B3338" w:rsidRDefault="009757F0" w:rsidP="00385D09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  <w:proofErr w:type="gramStart"/>
                  <w:r w:rsidR="00BB7F05"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385D09" w:rsidRPr="00385D09">
                    <w:rPr>
                      <w:sz w:val="28"/>
                      <w:lang w:val="ru-RU"/>
                    </w:rPr>
                    <w:t>общеобразовательной</w:t>
                  </w:r>
                  <w:r w:rsidR="00BB7F05"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="00BB7F05" w:rsidRPr="00452C8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="00BB7F05"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BB7F05"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957F6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="00BB7F05"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4B3338" w:rsidRPr="004B3338">
                    <w:rPr>
                      <w:color w:val="000000"/>
                      <w:sz w:val="28"/>
                      <w:szCs w:val="28"/>
                      <w:lang w:val="ru-RU"/>
                    </w:rPr>
                    <w:t>40.02.01 Право и организация социального обеспечения</w:t>
                  </w:r>
                  <w:r w:rsidR="00BB7F05"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BB7F05"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BB7F05"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385D09">
                    <w:rPr>
                      <w:color w:val="000000"/>
                      <w:sz w:val="28"/>
                      <w:szCs w:val="28"/>
                      <w:lang w:val="ru-RU"/>
                    </w:rPr>
                    <w:t>12 мая 2014г № 508</w:t>
                  </w:r>
                  <w:bookmarkStart w:id="0" w:name="_GoBack"/>
                  <w:bookmarkEnd w:id="0"/>
                  <w:r w:rsidR="00957F65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85D09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85D09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385D09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385D09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385D09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85D09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85D09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85D09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85D09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85D09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385D09" w:rsidRDefault="00AA4435" w:rsidP="00385D09">
      <w:pPr>
        <w:tabs>
          <w:tab w:val="left" w:pos="709"/>
        </w:tabs>
        <w:spacing w:line="276" w:lineRule="auto"/>
        <w:ind w:firstLine="709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>Рабочая программа</w:t>
      </w:r>
      <w:r w:rsidR="00385D09" w:rsidRPr="00385D09">
        <w:rPr>
          <w:sz w:val="28"/>
          <w:szCs w:val="28"/>
          <w:lang w:val="ru-RU"/>
        </w:rPr>
        <w:t xml:space="preserve"> </w:t>
      </w:r>
      <w:r w:rsidR="00385D09" w:rsidRPr="00385D09">
        <w:rPr>
          <w:sz w:val="28"/>
          <w:lang w:val="ru-RU"/>
        </w:rPr>
        <w:t>общеобразовательной</w:t>
      </w:r>
      <w:r w:rsidR="00385D09" w:rsidRPr="00385D09">
        <w:rPr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957F65">
        <w:rPr>
          <w:i/>
          <w:color w:val="000000"/>
          <w:sz w:val="28"/>
          <w:szCs w:val="28"/>
          <w:lang w:val="ru-RU"/>
        </w:rPr>
        <w:t>О</w:t>
      </w:r>
      <w:r w:rsidR="004B3338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</w:t>
      </w:r>
      <w:r w:rsidR="00385D09">
        <w:rPr>
          <w:sz w:val="28"/>
          <w:szCs w:val="28"/>
          <w:lang w:val="ru-RU"/>
        </w:rPr>
        <w:t xml:space="preserve"> 28 мая 2025 г. № 9</w:t>
      </w:r>
      <w:r w:rsidR="00385D09" w:rsidRPr="00385D09">
        <w:rPr>
          <w:sz w:val="28"/>
          <w:szCs w:val="28"/>
          <w:lang w:val="ru-RU"/>
        </w:rPr>
        <w:t>.</w:t>
      </w: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4E42" w:rsidRPr="00452C82" w:rsidRDefault="00C14E42" w:rsidP="00C14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09AE5A27" wp14:editId="00C538C7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4B333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  <w:p w:rsidR="004B3338" w:rsidRPr="00C00A0B" w:rsidRDefault="004B3338" w:rsidP="00C00A0B">
            <w:pPr>
              <w:pStyle w:val="a5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С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Default="0085576B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:rsidR="004B3338" w:rsidRPr="00B234B9" w:rsidRDefault="004B3338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У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:rsidR="004B3338" w:rsidRPr="00C00A0B" w:rsidRDefault="004B3338" w:rsidP="00B234B9">
            <w:pPr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3B4B4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К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BB7F05" w:rsidRDefault="00BB7F05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957F65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>ИНЫ ИНФОРМАТИКА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4B3338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4B3338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:rsidR="00031B5C" w:rsidRPr="00031B5C" w:rsidRDefault="00957F65" w:rsidP="004B333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Общеобразовательная дисциплина О</w:t>
      </w:r>
      <w:r w:rsidR="001E1F45"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031B5C" w:rsidRPr="00031B5C">
        <w:rPr>
          <w:color w:val="000000"/>
          <w:sz w:val="28"/>
          <w:szCs w:val="28"/>
          <w:lang w:val="ru-RU"/>
        </w:rPr>
        <w:t>40.02.01 Право и организация социального обеспечения</w:t>
      </w:r>
    </w:p>
    <w:p w:rsidR="00AB161A" w:rsidRDefault="00AB161A" w:rsidP="004B3338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4B3338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</w:t>
      </w:r>
      <w:r w:rsidR="00957F65">
        <w:rPr>
          <w:sz w:val="28"/>
          <w:szCs w:val="28"/>
          <w:lang w:val="ru-RU"/>
        </w:rPr>
        <w:t>общеобразовательной дисциплины 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 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385D09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234C4F" w:rsidRPr="00995A8D" w:rsidRDefault="00637C7C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</w:t>
            </w:r>
            <w:r w:rsidR="00EB6E72">
              <w:rPr>
                <w:sz w:val="28"/>
                <w:szCs w:val="28"/>
                <w:lang w:val="ru-RU"/>
              </w:rPr>
              <w:t xml:space="preserve"> моделирования в наглядном виде</w:t>
            </w: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165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EB6E72" w:rsidP="00EB6E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EB6E72" w:rsidTr="003D6F97">
        <w:tc>
          <w:tcPr>
            <w:tcW w:w="8188" w:type="dxa"/>
          </w:tcPr>
          <w:p w:rsidR="00EB6E72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949" w:type="dxa"/>
          </w:tcPr>
          <w:p w:rsidR="00EB6E72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385D09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385D09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CE6F2A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CE6F2A">
              <w:rPr>
                <w:sz w:val="28"/>
                <w:szCs w:val="28"/>
                <w:lang w:val="ru-RU"/>
              </w:rPr>
              <w:t>. Построение логических последовательностей.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385D09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385D09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385D09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CE6F2A">
              <w:rPr>
                <w:sz w:val="28"/>
                <w:szCs w:val="28"/>
                <w:lang w:val="ru-RU"/>
              </w:rPr>
              <w:t>. Защита информации клиентов.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068F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CE6F2A">
              <w:rPr>
                <w:sz w:val="28"/>
                <w:szCs w:val="28"/>
                <w:lang w:val="ru-RU"/>
              </w:rPr>
              <w:t>. Защита персональных данных.</w:t>
            </w:r>
          </w:p>
          <w:p w:rsidR="00354575" w:rsidRDefault="003545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CE6F2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385D09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354575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354575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385D09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354575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354575" w:rsidRDefault="003E58A5">
      <w:pPr>
        <w:rPr>
          <w:lang w:val="ru-RU"/>
        </w:rPr>
      </w:pPr>
      <w:r w:rsidRPr="00354575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354575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354575">
              <w:rPr>
                <w:sz w:val="28"/>
                <w:szCs w:val="28"/>
                <w:lang w:val="ru-RU"/>
              </w:rPr>
              <w:t>. Построение схем, структурных взаимодействий.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385D09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354575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354575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354575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385D09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354575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354575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354575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354575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385D09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385D0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385D0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385D09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385D09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354575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354575">
              <w:rPr>
                <w:sz w:val="28"/>
                <w:szCs w:val="28"/>
                <w:lang w:val="ru-RU"/>
              </w:rPr>
              <w:t>. База данных клиентов.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354575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385D09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  <w:r w:rsidR="00354575">
              <w:rPr>
                <w:sz w:val="28"/>
                <w:szCs w:val="28"/>
                <w:lang w:val="ru-RU"/>
              </w:rPr>
              <w:t>. Со</w:t>
            </w:r>
            <w:r w:rsidR="00585DB3">
              <w:rPr>
                <w:sz w:val="28"/>
                <w:szCs w:val="28"/>
                <w:lang w:val="ru-RU"/>
              </w:rPr>
              <w:t>з</w:t>
            </w:r>
            <w:r w:rsidR="00354575">
              <w:rPr>
                <w:sz w:val="28"/>
                <w:szCs w:val="28"/>
                <w:lang w:val="ru-RU"/>
              </w:rPr>
              <w:t>дание сводных отчетов.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4F397E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585DB3">
              <w:rPr>
                <w:sz w:val="28"/>
                <w:szCs w:val="28"/>
                <w:lang w:val="ru-RU"/>
              </w:rPr>
              <w:t>. Технология многомерных кубов в отчетности.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Промежуточная аттестация </w:t>
            </w:r>
            <w:r w:rsidR="00762E2F"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385D09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85D0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</w:t>
                  </w:r>
                  <w:proofErr w:type="gramStart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385D0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385D0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385D0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385D0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385D09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385D09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385D09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385D09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385D09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65" w:rsidRDefault="00957F65" w:rsidP="0008408D">
      <w:r>
        <w:separator/>
      </w:r>
    </w:p>
  </w:endnote>
  <w:endnote w:type="continuationSeparator" w:id="0">
    <w:p w:rsidR="00957F65" w:rsidRDefault="00957F65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957F65" w:rsidRDefault="00957F6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D09" w:rsidRPr="00385D09">
          <w:rPr>
            <w:noProof/>
            <w:lang w:val="ru-RU"/>
          </w:rPr>
          <w:t>9</w:t>
        </w:r>
        <w:r>
          <w:fldChar w:fldCharType="end"/>
        </w:r>
      </w:p>
    </w:sdtContent>
  </w:sdt>
  <w:p w:rsidR="00957F65" w:rsidRDefault="00957F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65" w:rsidRDefault="00957F65" w:rsidP="0008408D">
      <w:r>
        <w:separator/>
      </w:r>
    </w:p>
  </w:footnote>
  <w:footnote w:type="continuationSeparator" w:id="0">
    <w:p w:rsidR="00957F65" w:rsidRDefault="00957F65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E418D"/>
    <w:multiLevelType w:val="hybridMultilevel"/>
    <w:tmpl w:val="210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1B5C"/>
    <w:rsid w:val="00032D52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4D88"/>
    <w:rsid w:val="002B577E"/>
    <w:rsid w:val="002D5DEA"/>
    <w:rsid w:val="0030617A"/>
    <w:rsid w:val="003172CE"/>
    <w:rsid w:val="00344246"/>
    <w:rsid w:val="00354575"/>
    <w:rsid w:val="0037177E"/>
    <w:rsid w:val="0037272E"/>
    <w:rsid w:val="00385D09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B3338"/>
    <w:rsid w:val="004D724A"/>
    <w:rsid w:val="004E41DB"/>
    <w:rsid w:val="004E5253"/>
    <w:rsid w:val="004F397E"/>
    <w:rsid w:val="004F77B4"/>
    <w:rsid w:val="005076C5"/>
    <w:rsid w:val="00524AB8"/>
    <w:rsid w:val="00585DB3"/>
    <w:rsid w:val="005B5486"/>
    <w:rsid w:val="005D14D6"/>
    <w:rsid w:val="005E166C"/>
    <w:rsid w:val="005E7550"/>
    <w:rsid w:val="005F2146"/>
    <w:rsid w:val="005F552B"/>
    <w:rsid w:val="006068FA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9004BB"/>
    <w:rsid w:val="00901BF9"/>
    <w:rsid w:val="00942C3C"/>
    <w:rsid w:val="00957F65"/>
    <w:rsid w:val="009757F0"/>
    <w:rsid w:val="00987523"/>
    <w:rsid w:val="00995A8D"/>
    <w:rsid w:val="009A3510"/>
    <w:rsid w:val="009B42C8"/>
    <w:rsid w:val="009E07C2"/>
    <w:rsid w:val="00A11D03"/>
    <w:rsid w:val="00A20BA9"/>
    <w:rsid w:val="00A44BA8"/>
    <w:rsid w:val="00A54B72"/>
    <w:rsid w:val="00A814CB"/>
    <w:rsid w:val="00A830E1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BD3061"/>
    <w:rsid w:val="00C00A0B"/>
    <w:rsid w:val="00C14E42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CE6F2A"/>
    <w:rsid w:val="00D044AA"/>
    <w:rsid w:val="00D21A8F"/>
    <w:rsid w:val="00DB13F1"/>
    <w:rsid w:val="00DE0F34"/>
    <w:rsid w:val="00E10B57"/>
    <w:rsid w:val="00E23911"/>
    <w:rsid w:val="00E34375"/>
    <w:rsid w:val="00E50ADA"/>
    <w:rsid w:val="00E84AF3"/>
    <w:rsid w:val="00EB6E72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B94C-BB78-4CA1-BFED-09535860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15</cp:revision>
  <dcterms:created xsi:type="dcterms:W3CDTF">2023-06-05T08:22:00Z</dcterms:created>
  <dcterms:modified xsi:type="dcterms:W3CDTF">2025-08-07T06:07:00Z</dcterms:modified>
</cp:coreProperties>
</file>